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E5" w:rsidRPr="005F3A5B" w:rsidRDefault="002D56E5" w:rsidP="005F3A5B">
      <w:pPr>
        <w:spacing w:before="100" w:beforeAutospacing="1" w:after="100" w:afterAutospacing="1" w:line="240" w:lineRule="auto"/>
        <w:jc w:val="center"/>
        <w:outlineLvl w:val="2"/>
        <w:rPr>
          <w:b/>
          <w:bCs/>
          <w:lang w:eastAsia="ru-RU"/>
        </w:rPr>
      </w:pPr>
      <w:r w:rsidRPr="005F3A5B">
        <w:rPr>
          <w:b/>
          <w:bCs/>
          <w:lang w:eastAsia="ru-RU"/>
        </w:rPr>
        <w:t>Обязательные требования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5F3A5B">
        <w:rPr>
          <w:sz w:val="24"/>
          <w:szCs w:val="24"/>
          <w:lang w:eastAsia="ru-RU"/>
        </w:rPr>
        <w:t xml:space="preserve">В соответствии с </w:t>
      </w:r>
      <w:r w:rsidRPr="005F3A5B">
        <w:rPr>
          <w:b/>
          <w:bCs/>
          <w:sz w:val="24"/>
          <w:szCs w:val="24"/>
          <w:lang w:eastAsia="ru-RU"/>
        </w:rPr>
        <w:t>"Правилами учета электрической энергии"</w:t>
      </w:r>
      <w:r w:rsidRPr="005F3A5B">
        <w:rPr>
          <w:sz w:val="24"/>
          <w:szCs w:val="24"/>
          <w:lang w:eastAsia="ru-RU"/>
        </w:rPr>
        <w:t xml:space="preserve"> (зарегистрированы в Минюсте РФ 24 октября </w:t>
      </w:r>
      <w:smartTag w:uri="urn:schemas-microsoft-com:office:smarttags" w:element="metricconverter">
        <w:smartTagPr>
          <w:attr w:name="ProductID" w:val="1996 г"/>
        </w:smartTagPr>
        <w:r w:rsidRPr="005F3A5B">
          <w:rPr>
            <w:sz w:val="24"/>
            <w:szCs w:val="24"/>
            <w:lang w:eastAsia="ru-RU"/>
          </w:rPr>
          <w:t>1996 г</w:t>
        </w:r>
      </w:smartTag>
      <w:r w:rsidRPr="005F3A5B">
        <w:rPr>
          <w:sz w:val="24"/>
          <w:szCs w:val="24"/>
          <w:lang w:eastAsia="ru-RU"/>
        </w:rPr>
        <w:t>. N 1182), учет активной и реактивной энергии и мощности, а также</w:t>
      </w:r>
      <w:r w:rsidRPr="005F3A5B">
        <w:rPr>
          <w:b/>
          <w:bCs/>
          <w:sz w:val="24"/>
          <w:szCs w:val="24"/>
          <w:lang w:eastAsia="ru-RU"/>
        </w:rPr>
        <w:t xml:space="preserve"> контроль качества</w:t>
      </w:r>
      <w:r w:rsidRPr="005F3A5B">
        <w:rPr>
          <w:sz w:val="24"/>
          <w:szCs w:val="24"/>
          <w:lang w:eastAsia="ru-RU"/>
        </w:rPr>
        <w:t xml:space="preserve"> электроэнергии для расчетов между энергоснабжающей организацией и потребителем производится, как правило, на границе балансовой принадлежности электросети. Для повышения эффективности учета электроэнергии в электроустановках рекомендуется применять автоматизированные системы учета и </w:t>
      </w:r>
      <w:r w:rsidRPr="005F3A5B">
        <w:rPr>
          <w:b/>
          <w:bCs/>
          <w:sz w:val="24"/>
          <w:szCs w:val="24"/>
          <w:lang w:eastAsia="ru-RU"/>
        </w:rPr>
        <w:t>контроля электроэнергии</w:t>
      </w:r>
      <w:r w:rsidRPr="005F3A5B">
        <w:rPr>
          <w:sz w:val="24"/>
          <w:szCs w:val="24"/>
          <w:lang w:eastAsia="ru-RU"/>
        </w:rPr>
        <w:t>, создаваемые на базе электросчетчиков и информационно-измерительных систем. Учет активной и реактивной энергии и мощности, а также контроль качества электроэнергии для расчетов между энергоснабжающей организацией и потребителем производится, как правило, на границе балансовой принадлежности электросети.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5F3A5B">
        <w:rPr>
          <w:sz w:val="24"/>
          <w:szCs w:val="24"/>
          <w:lang w:eastAsia="ru-RU"/>
        </w:rPr>
        <w:t xml:space="preserve">В соответствии с </w:t>
      </w:r>
      <w:r w:rsidRPr="005F3A5B">
        <w:rPr>
          <w:b/>
          <w:bCs/>
          <w:sz w:val="24"/>
          <w:szCs w:val="24"/>
          <w:lang w:eastAsia="ru-RU"/>
        </w:rPr>
        <w:t>"Правилами недискриминационного доступа</w:t>
      </w:r>
      <w:r w:rsidRPr="005F3A5B">
        <w:rPr>
          <w:sz w:val="24"/>
          <w:szCs w:val="24"/>
          <w:lang w:eastAsia="ru-RU"/>
        </w:rPr>
        <w:t xml:space="preserve"> </w:t>
      </w:r>
      <w:r w:rsidRPr="005F3A5B">
        <w:rPr>
          <w:b/>
          <w:bCs/>
          <w:sz w:val="24"/>
          <w:szCs w:val="24"/>
          <w:lang w:eastAsia="ru-RU"/>
        </w:rPr>
        <w:t>к услугам по передаче электрической энергии и оказания этих услуг</w:t>
      </w:r>
      <w:r w:rsidRPr="005F3A5B">
        <w:rPr>
          <w:sz w:val="24"/>
          <w:szCs w:val="24"/>
          <w:lang w:eastAsia="ru-RU"/>
        </w:rPr>
        <w:t xml:space="preserve">" (утверждены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5F3A5B">
          <w:rPr>
            <w:sz w:val="24"/>
            <w:szCs w:val="24"/>
            <w:lang w:eastAsia="ru-RU"/>
          </w:rPr>
          <w:t>2004 г</w:t>
        </w:r>
      </w:smartTag>
      <w:r w:rsidRPr="005F3A5B">
        <w:rPr>
          <w:sz w:val="24"/>
          <w:szCs w:val="24"/>
          <w:lang w:eastAsia="ru-RU"/>
        </w:rPr>
        <w:t>. № 86</w:t>
      </w:r>
      <w:r>
        <w:rPr>
          <w:sz w:val="24"/>
          <w:szCs w:val="24"/>
          <w:lang w:eastAsia="ru-RU"/>
        </w:rPr>
        <w:t>1</w:t>
      </w:r>
      <w:r w:rsidRPr="005F3A5B">
        <w:rPr>
          <w:sz w:val="24"/>
          <w:szCs w:val="24"/>
          <w:lang w:eastAsia="ru-RU"/>
        </w:rPr>
        <w:t>), сетевая организация принимает на себя в соответствии с договором следующие обязательства: обеспечить передачу электрической энергии на энергопринимающие устройства потребителя услуг, качество и параметры которой должны соответствовать техническим регламентам и иным обязательным требованиям (п.14). При присоединении к электрической сети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присоединенной мощности, определенной договором, качество и параметры которой должны соответствовать техническим регламентам и иным обязательным требованиям (п.30).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304FAA">
        <w:rPr>
          <w:sz w:val="24"/>
          <w:szCs w:val="24"/>
          <w:lang w:eastAsia="ru-RU"/>
        </w:rPr>
        <w:t xml:space="preserve">В соответствии с </w:t>
      </w:r>
      <w:r w:rsidRPr="00304FAA">
        <w:rPr>
          <w:sz w:val="24"/>
          <w:szCs w:val="24"/>
        </w:rPr>
        <w:t xml:space="preserve"> Положением о функционировании розничных рынков электрической энергии,</w:t>
      </w:r>
      <w:r w:rsidRPr="00304FAA">
        <w:rPr>
          <w:sz w:val="24"/>
          <w:szCs w:val="24"/>
          <w:lang w:eastAsia="ru-RU"/>
        </w:rPr>
        <w:t xml:space="preserve"> (утверждены Постановлением Правительства РФ от 04 мая </w:t>
      </w:r>
      <w:smartTag w:uri="urn:schemas-microsoft-com:office:smarttags" w:element="metricconverter">
        <w:smartTagPr>
          <w:attr w:name="ProductID" w:val="2012 г"/>
        </w:smartTagPr>
        <w:r w:rsidRPr="00304FAA">
          <w:rPr>
            <w:sz w:val="24"/>
            <w:szCs w:val="24"/>
            <w:lang w:eastAsia="ru-RU"/>
          </w:rPr>
          <w:t>2012 г</w:t>
        </w:r>
      </w:smartTag>
      <w:r w:rsidRPr="00304FAA">
        <w:rPr>
          <w:sz w:val="24"/>
          <w:szCs w:val="24"/>
          <w:lang w:eastAsia="ru-RU"/>
        </w:rPr>
        <w:t>. N 442), качество электрической энергии обеспечивается совместными действиями субъектов электроэнергетики, обеспечивающих снабжение электрической энергией потребителей, в том</w:t>
      </w:r>
      <w:r w:rsidRPr="005F3A5B">
        <w:rPr>
          <w:sz w:val="24"/>
          <w:szCs w:val="24"/>
          <w:lang w:eastAsia="ru-RU"/>
        </w:rPr>
        <w:t xml:space="preserve"> числе гарантирующих поставщиков, энергосбытовых организаций, энергоснабжающих организаций, </w:t>
      </w:r>
      <w:r w:rsidRPr="005F3A5B">
        <w:rPr>
          <w:b/>
          <w:bCs/>
          <w:sz w:val="24"/>
          <w:szCs w:val="24"/>
          <w:lang w:eastAsia="ru-RU"/>
        </w:rPr>
        <w:t>сетевых организаций</w:t>
      </w:r>
      <w:r w:rsidRPr="005F3A5B">
        <w:rPr>
          <w:sz w:val="24"/>
          <w:szCs w:val="24"/>
          <w:lang w:eastAsia="ru-RU"/>
        </w:rPr>
        <w:t xml:space="preserve">, системного оператора и иных субъектов оперативно-диспетчерского управления, а также производителей (поставщиков) электрической энергии во исполнение своих обязательств по договорам на оптовом и розничных рынках электрической энергии. Указанные субъекты отвечают перед потребителями за неисполнение или ненадлежащее исполнение обязательств по соответствующим договорам, в том числе за надежность снабжения их электрической энергией и </w:t>
      </w:r>
      <w:r w:rsidRPr="005F3A5B">
        <w:rPr>
          <w:b/>
          <w:bCs/>
          <w:sz w:val="24"/>
          <w:szCs w:val="24"/>
          <w:lang w:eastAsia="ru-RU"/>
        </w:rPr>
        <w:t>ее качество</w:t>
      </w:r>
      <w:r w:rsidRPr="005F3A5B">
        <w:rPr>
          <w:sz w:val="24"/>
          <w:szCs w:val="24"/>
          <w:lang w:eastAsia="ru-RU"/>
        </w:rPr>
        <w:t xml:space="preserve"> в соответствии с техническими регламентами и иными обязательными требованиями (п.112).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5F3A5B">
        <w:rPr>
          <w:sz w:val="24"/>
          <w:szCs w:val="24"/>
          <w:lang w:eastAsia="ru-RU"/>
        </w:rPr>
        <w:t xml:space="preserve">В соответствии с </w:t>
      </w:r>
      <w:r w:rsidRPr="005F3A5B">
        <w:rPr>
          <w:b/>
          <w:bCs/>
          <w:sz w:val="24"/>
          <w:szCs w:val="24"/>
          <w:lang w:eastAsia="ru-RU"/>
        </w:rPr>
        <w:t>Федеральным законом №35 "Об электроэнергетике"</w:t>
      </w:r>
      <w:r w:rsidRPr="005F3A5B">
        <w:rPr>
          <w:sz w:val="24"/>
          <w:szCs w:val="24"/>
          <w:lang w:eastAsia="ru-RU"/>
        </w:rPr>
        <w:t xml:space="preserve">, субъекты электроэнергетики, обеспечивающие поставки электрической энергии потребителям электрической энергии, в том числе энергосбытовые организации, гарантирующие поставщики и </w:t>
      </w:r>
      <w:r w:rsidRPr="005F3A5B">
        <w:rPr>
          <w:b/>
          <w:bCs/>
          <w:sz w:val="24"/>
          <w:szCs w:val="24"/>
          <w:lang w:eastAsia="ru-RU"/>
        </w:rPr>
        <w:t>территориальные сетевые организации (в пределах своей ответственности),</w:t>
      </w:r>
      <w:r w:rsidRPr="005F3A5B">
        <w:rPr>
          <w:sz w:val="24"/>
          <w:szCs w:val="24"/>
          <w:lang w:eastAsia="ru-RU"/>
        </w:rPr>
        <w:t xml:space="preserve"> отвечают перед потребителями электрической энергии за надежность обеспечения их электрической энергией и ее качество в соответствии с техническими регламентами и иными обязательными требованиями.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5F3A5B">
        <w:rPr>
          <w:sz w:val="24"/>
          <w:szCs w:val="24"/>
          <w:lang w:eastAsia="ru-RU"/>
        </w:rPr>
        <w:t xml:space="preserve">В соответствии со </w:t>
      </w:r>
      <w:r w:rsidRPr="005F3A5B">
        <w:rPr>
          <w:b/>
          <w:bCs/>
          <w:sz w:val="24"/>
          <w:szCs w:val="24"/>
          <w:lang w:eastAsia="ru-RU"/>
        </w:rPr>
        <w:t xml:space="preserve">ст.542 ГК РФ </w:t>
      </w:r>
      <w:r w:rsidRPr="005F3A5B">
        <w:rPr>
          <w:sz w:val="24"/>
          <w:szCs w:val="24"/>
          <w:lang w:eastAsia="ru-RU"/>
        </w:rPr>
        <w:t>(в ред. Федерального закона от 26.03.2003 N 37-ФЗ), качество подаваемой энергии должно соответствовать требованиям, установленным государственными стандартами и иными обязательными правилами или предусмотренным договором энергоснабжения. В случае нарушения энергоснабжающей организацией требований, предъявляемых к качеству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энергии.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5F3A5B">
        <w:rPr>
          <w:sz w:val="24"/>
          <w:szCs w:val="24"/>
          <w:lang w:eastAsia="ru-RU"/>
        </w:rPr>
        <w:t xml:space="preserve">В соответствии с </w:t>
      </w:r>
      <w:r w:rsidRPr="005F3A5B">
        <w:rPr>
          <w:b/>
          <w:bCs/>
          <w:sz w:val="24"/>
          <w:szCs w:val="24"/>
          <w:lang w:eastAsia="ru-RU"/>
        </w:rPr>
        <w:t>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Pr="005F3A5B">
        <w:rPr>
          <w:sz w:val="24"/>
          <w:szCs w:val="24"/>
          <w:lang w:eastAsia="ru-RU"/>
        </w:rPr>
        <w:t>,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</w:t>
      </w:r>
    </w:p>
    <w:p w:rsidR="002D56E5" w:rsidRPr="005F3A5B" w:rsidRDefault="002D56E5" w:rsidP="005F3A5B">
      <w:pPr>
        <w:spacing w:before="100" w:beforeAutospacing="1" w:after="100" w:afterAutospacing="1" w:line="240" w:lineRule="auto"/>
        <w:jc w:val="center"/>
        <w:outlineLvl w:val="2"/>
        <w:rPr>
          <w:b/>
          <w:bCs/>
          <w:lang w:eastAsia="ru-RU"/>
        </w:rPr>
      </w:pPr>
      <w:r w:rsidRPr="005F3A5B">
        <w:rPr>
          <w:b/>
          <w:bCs/>
          <w:lang w:eastAsia="ru-RU"/>
        </w:rPr>
        <w:t>Требования к качеству электроэнергии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>          </w:t>
      </w:r>
      <w:r w:rsidRPr="005F3A5B">
        <w:rPr>
          <w:sz w:val="24"/>
          <w:szCs w:val="24"/>
          <w:lang w:eastAsia="ru-RU"/>
        </w:rPr>
        <w:t>Определяется ГОСТ 13109-97 «Электрическая энергия совместимость технических средств электромагнитная. Нормы качества электрической энергии в системах электроснабжения общего назначения».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>             </w:t>
      </w:r>
      <w:r w:rsidRPr="005F3A5B">
        <w:rPr>
          <w:sz w:val="24"/>
          <w:szCs w:val="24"/>
          <w:lang w:eastAsia="ru-RU"/>
        </w:rPr>
        <w:t>ГОСТ Р53333-2008 «Электрическая энергия совместимость технических средств электромагнитная. Контроль качества электрической энергии в системах электроснабжения общего назначения».</w:t>
      </w:r>
    </w:p>
    <w:p w:rsidR="002D56E5" w:rsidRPr="005F3A5B" w:rsidRDefault="002D56E5" w:rsidP="005F3A5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5F3A5B">
        <w:rPr>
          <w:b/>
          <w:bCs/>
          <w:sz w:val="24"/>
          <w:szCs w:val="24"/>
          <w:lang w:eastAsia="ru-RU"/>
        </w:rPr>
        <w:t xml:space="preserve">Сертификация 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 xml:space="preserve">Единый перечень продукции, подлежащей обязательной сертификации (Утвержден Постановлением Правительства РФ от 1 декабря </w:t>
      </w:r>
      <w:smartTag w:uri="urn:schemas-microsoft-com:office:smarttags" w:element="metricconverter">
        <w:smartTagPr>
          <w:attr w:name="ProductID" w:val="2009 г"/>
        </w:smartTagPr>
        <w:r w:rsidRPr="005F3A5B">
          <w:rPr>
            <w:sz w:val="24"/>
            <w:szCs w:val="24"/>
            <w:lang w:eastAsia="ru-RU"/>
          </w:rPr>
          <w:t>2009 г</w:t>
        </w:r>
      </w:smartTag>
      <w:r w:rsidRPr="005F3A5B">
        <w:rPr>
          <w:sz w:val="24"/>
          <w:szCs w:val="24"/>
          <w:lang w:eastAsia="ru-RU"/>
        </w:rPr>
        <w:t>. N 982) Электрическая энергия в электрических сетях общего назначения переменного трехфазного и однофазного тока частотой 50 Гц - 0110 Электроэнергия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 xml:space="preserve">Проводится в соответствии с постановлением правительства от 3 января </w:t>
      </w:r>
      <w:smartTag w:uri="urn:schemas-microsoft-com:office:smarttags" w:element="metricconverter">
        <w:smartTagPr>
          <w:attr w:name="ProductID" w:val="2001 г"/>
        </w:smartTagPr>
        <w:r w:rsidRPr="005F3A5B">
          <w:rPr>
            <w:sz w:val="24"/>
            <w:szCs w:val="24"/>
            <w:lang w:eastAsia="ru-RU"/>
          </w:rPr>
          <w:t>2001 г</w:t>
        </w:r>
      </w:smartTag>
      <w:r w:rsidRPr="005F3A5B">
        <w:rPr>
          <w:sz w:val="24"/>
          <w:szCs w:val="24"/>
          <w:lang w:eastAsia="ru-RU"/>
        </w:rPr>
        <w:t>. N 1 в соответствии с правилами по сертификации, утвержденными постановлением Госстандарта России от 3 января 2001г. № 1</w:t>
      </w:r>
    </w:p>
    <w:p w:rsidR="002D56E5" w:rsidRPr="005F3A5B" w:rsidRDefault="002D56E5" w:rsidP="005F3A5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5F3A5B">
        <w:rPr>
          <w:b/>
          <w:bCs/>
          <w:sz w:val="24"/>
          <w:szCs w:val="24"/>
          <w:lang w:eastAsia="ru-RU"/>
        </w:rPr>
        <w:t>Нормы качества электроэнергии по которым проводится сертификация: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Отклонение напряжения, которое характеризуется показателем установившегося отклонения напряжения. В соответствии с Приказом №3589 от 18.12.2007г. федерального агентства «Ростехрегулирования» сертификация электроэнергии выполняется по нормам «предельно допускаемых значений» которые составляют ±10%.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Отклонение частоты. Характеризуется нормально-допустимым и предельно-допустимым значениями отклонения которые составляют ± 0,2 и ± 0,4 Гц соответственно.</w:t>
      </w:r>
    </w:p>
    <w:p w:rsidR="002D56E5" w:rsidRPr="005F3A5B" w:rsidRDefault="002D56E5" w:rsidP="005F3A5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5F3A5B">
        <w:rPr>
          <w:b/>
          <w:bCs/>
          <w:sz w:val="24"/>
          <w:szCs w:val="24"/>
          <w:lang w:eastAsia="ru-RU"/>
        </w:rPr>
        <w:t>Нормы качества электроэнергии установленные ГОСТ 13109-97: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Отклонение напряжения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Колебание напряжения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Несинусоидальность напряжения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Несимметрия напряжения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 xml:space="preserve">Отклонение частоты 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Провал напряжения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Импульс напряжения</w:t>
      </w:r>
    </w:p>
    <w:p w:rsidR="002D56E5" w:rsidRPr="005F3A5B" w:rsidRDefault="002D56E5" w:rsidP="005F3A5B">
      <w:pPr>
        <w:tabs>
          <w:tab w:val="num" w:pos="720"/>
        </w:tabs>
        <w:spacing w:after="150" w:line="240" w:lineRule="auto"/>
        <w:ind w:left="570" w:hanging="360"/>
        <w:rPr>
          <w:sz w:val="24"/>
          <w:szCs w:val="24"/>
          <w:lang w:eastAsia="ru-RU"/>
        </w:rPr>
      </w:pPr>
      <w:r w:rsidRPr="005F3A5B">
        <w:rPr>
          <w:rFonts w:ascii="Wingdings" w:hAnsi="Wingdings"/>
          <w:sz w:val="20"/>
          <w:szCs w:val="20"/>
          <w:lang w:eastAsia="ru-RU"/>
        </w:rPr>
        <w:t></w:t>
      </w:r>
      <w:r w:rsidRPr="005F3A5B">
        <w:rPr>
          <w:sz w:val="14"/>
          <w:szCs w:val="14"/>
          <w:lang w:eastAsia="ru-RU"/>
        </w:rPr>
        <w:t xml:space="preserve">              </w:t>
      </w:r>
      <w:r w:rsidRPr="005F3A5B">
        <w:rPr>
          <w:sz w:val="24"/>
          <w:szCs w:val="24"/>
          <w:lang w:eastAsia="ru-RU"/>
        </w:rPr>
        <w:t>Временное перенапряжение</w:t>
      </w:r>
    </w:p>
    <w:p w:rsidR="002D56E5" w:rsidRPr="005F3A5B" w:rsidRDefault="002D56E5" w:rsidP="005F3A5B">
      <w:pPr>
        <w:spacing w:before="100" w:beforeAutospacing="1" w:after="150" w:line="240" w:lineRule="auto"/>
        <w:rPr>
          <w:sz w:val="24"/>
          <w:szCs w:val="24"/>
          <w:lang w:eastAsia="ru-RU"/>
        </w:rPr>
      </w:pPr>
      <w:r w:rsidRPr="005F3A5B">
        <w:rPr>
          <w:sz w:val="24"/>
          <w:szCs w:val="24"/>
          <w:lang w:eastAsia="ru-RU"/>
        </w:rPr>
        <w:t xml:space="preserve">Существует два вида норм: нормально допустимые и предельнодопустимые. Эти нормы характеризуются показателями качества электроэнергии, имеющими выраженное числовое значение. </w:t>
      </w:r>
    </w:p>
    <w:p w:rsidR="002D56E5" w:rsidRDefault="002D56E5"/>
    <w:sectPr w:rsidR="002D56E5" w:rsidSect="007F3899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5B"/>
    <w:rsid w:val="00120B3D"/>
    <w:rsid w:val="001B3923"/>
    <w:rsid w:val="002D56E5"/>
    <w:rsid w:val="00304FAA"/>
    <w:rsid w:val="004344C5"/>
    <w:rsid w:val="004D466E"/>
    <w:rsid w:val="00534D73"/>
    <w:rsid w:val="005F3A5B"/>
    <w:rsid w:val="007F3899"/>
    <w:rsid w:val="00940455"/>
    <w:rsid w:val="00AB0768"/>
    <w:rsid w:val="00AB2332"/>
    <w:rsid w:val="00B80FA4"/>
    <w:rsid w:val="00ED609D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3D"/>
    <w:pPr>
      <w:spacing w:line="276" w:lineRule="auto"/>
      <w:jc w:val="both"/>
    </w:pPr>
    <w:rPr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F3A5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3A5B"/>
    <w:rPr>
      <w:rFonts w:eastAsia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F3A5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914</Words>
  <Characters>5216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</cp:lastModifiedBy>
  <cp:revision>4</cp:revision>
  <dcterms:created xsi:type="dcterms:W3CDTF">2012-08-14T10:43:00Z</dcterms:created>
  <dcterms:modified xsi:type="dcterms:W3CDTF">2012-11-11T07:22:00Z</dcterms:modified>
</cp:coreProperties>
</file>